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tblInd w:w="-42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2311"/>
        <w:gridCol w:w="7435"/>
      </w:tblGrid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tLeast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tLeast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Обозначение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tLeast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Наименование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61511-1-2018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Безопасность функциональная. Системы безопасности приборные для промышленных процессов. Часть 1. Термины, определения и технические требования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61511-2-2018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Безопасность функциональная. Системы безопасности приборные для промышленных процессов. Часть 2. Рук</w:t>
            </w:r>
            <w:bookmarkStart w:id="0" w:name="_GoBack"/>
            <w:bookmarkEnd w:id="0"/>
            <w:r>
              <w:rPr>
                <w:rFonts w:ascii="Arial" w:hAnsi="Arial" w:cs="Times New Roman"/>
              </w:rPr>
              <w:t>оводство по применению МЭК 61511-1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61511-3-2018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Безопасность функциональная. Системы безопасности приборные для промышленных процессов. Часть 3. Руководство по определению требуемых уровней полноты безопасности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61508-1-2012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1. Общие требования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61508-2-2012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2. Требования к системам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</w:t>
            </w:r>
            <w:r>
              <w:rPr>
                <w:rFonts w:ascii="Arial" w:hAnsi="Arial" w:cs="Times New Roman"/>
                <w:lang w:val="en-US"/>
              </w:rPr>
              <w:t xml:space="preserve"> IEC </w:t>
            </w:r>
            <w:r>
              <w:rPr>
                <w:rFonts w:ascii="Arial" w:hAnsi="Arial" w:cs="Times New Roman"/>
              </w:rPr>
              <w:t>61508-3-2018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3. Требования к программному обеспечению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61508-4-2012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 связанных с безопасностью. Часть 4. Термины и определения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61508-5-2012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5. Рекомендации по применению методов определения уровней полноты безопасности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61508-6-2012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6. Руководство по применению ГОСТ Р МЭК 61508-2 и ГОСТ Р МЭК 61508-3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61508-7-2012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7. Методы и средства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</w:t>
            </w:r>
          </w:p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55743─2013/ISO/TR</w:t>
            </w:r>
          </w:p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23849:2010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Руководство по применению ИСО 13849-1 и МЭК 62061 при проектировании систем управления оборудованием, связанных с безопасностью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ИСО/МЭК 14762-2013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Информационные технологии. Требования к функциональной безопасности электронных систем домов и зданий (ЭСДЗ)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ЕН 50491-4-1-2014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Общие требования к электронным системам жилых домов и общественных зданий (ЭСДЗ) и системам управления и автоматизации общественных зданий (СУАЗ). Часть 4-1. Общие требования к функциональной безопасности изделий, предназначенных для включения в ЭСДЗ и СУАЗ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26262-10-2014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10. Руководящие указания по ИСО 26262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26262-1-2014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1. Термины и определения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26262-2-2014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2. Менеджмент функциональной безопасности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26262-3-2014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3. Стадия формирования концепции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26262-4-2014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4. Разработка изделия на уровне системы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26262-5-2014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5. Разработка аппаратных средств изделия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26262-6-2014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6. Разработка программного обеспечения изделия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26262-7-2014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7. Производство и эксплуатация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26262-8-2014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8. Вспомогательные процессы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ИСО 26262-9-2014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Дорожные транспортные средства. Функциональная безопасность. Часть 9. Анализ уровня полноты безопасности автомобиля и анализ безопасности автомобиля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61131-6-2015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Контроллеры программируемые. Часть 6. Безопасность функциональная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61784-3-2015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3. Функциональная безопасность полевых шин. Общие правила и определения профилей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61800-5-2-2015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Системы силовых электроприводов с регулируемой скоростью. Часть 5-2. Требования функциональной безопасности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62061-2015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Безопасность оборудования. Функциональная безопасность систем управления электрических, электронных и программируемых электронных, связанных с безопасностью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57300—</w:t>
            </w:r>
          </w:p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2016/ISO/TS 15998-2:2012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Машины землеройные. Системы управления с использованием электронных компонентов. Часть 2. Применение ИСО 15998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61784-1-2016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1. Профили полевых шин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61784-3-1-2016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3-1. Функциональная безопасность полевых шин. Дополнительные спецификации для CPF 1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61784-3-12-2016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3-12. Функциональная безопасность полевых шин. Дополнительные спецификации для CPF 12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61784-3-3-2016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3-3. Функциональная безопасность полевых шин. Дополнительные спецификации для CPF 3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61784-3-8-2016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Промышленные сети. Профили. Часть 3-8. Функциональная безопасность полевых шин. Дополнительные спецификации для CPF 8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62279-2016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Железные дороги. Системы связи, сигнализации и обработки данных. Программное обеспечение систем управления и защиты на железных дорогах</w:t>
            </w:r>
          </w:p>
        </w:tc>
      </w:tr>
      <w:tr w:rsidR="00A261C7" w:rsidTr="00A261C7">
        <w:trPr>
          <w:trHeight w:val="142"/>
        </w:trPr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62280-2017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Железные дороги. Системы связи, сигнализации и обработки данных. Требования к обеспечению безопасной передачи информации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</w:t>
            </w:r>
          </w:p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58489-2019/</w:t>
            </w:r>
          </w:p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IEC/TS 61508-3-1:2016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 xml:space="preserve">Функциональная безопасность систем электрических, электронных, программируемых электронных, связанных с безопасностью. Часть 3-1. Требования к программному обеспечению. Повторное использование уже существующих элементов программного обеспечения для реализации всей или части функции </w:t>
            </w:r>
          </w:p>
        </w:tc>
      </w:tr>
      <w:tr w:rsidR="00A261C7" w:rsidTr="00A261C7">
        <w:tc>
          <w:tcPr>
            <w:tcW w:w="459" w:type="dxa"/>
            <w:shd w:val="clear" w:color="auto" w:fill="E8E8E8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61000-6-7-2019</w:t>
            </w:r>
          </w:p>
        </w:tc>
        <w:tc>
          <w:tcPr>
            <w:tcW w:w="7435" w:type="dxa"/>
            <w:shd w:val="clear" w:color="auto" w:fill="E8E8E8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 xml:space="preserve">Электромагнитная совместимость (ЭМС). Часть 6-7. Общие стандарты. Требования к помехоустойчивости для оборудования, предназначенного для выполнения функций в системах, связанных с безопасностью (функциональная безопасность), на промышленных </w:t>
            </w:r>
          </w:p>
        </w:tc>
      </w:tr>
      <w:tr w:rsidR="00A261C7" w:rsidTr="00A261C7">
        <w:tc>
          <w:tcPr>
            <w:tcW w:w="459" w:type="dxa"/>
            <w:shd w:val="clear" w:color="auto" w:fill="D0D0D0"/>
          </w:tcPr>
          <w:p w:rsidR="00A261C7" w:rsidRDefault="00A261C7" w:rsidP="00A261C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-55" w:firstLine="55"/>
              <w:jc w:val="both"/>
              <w:rPr>
                <w:rFonts w:ascii="Arial" w:hAnsi="Arial" w:cs="Times New Roman"/>
              </w:rPr>
            </w:pPr>
          </w:p>
        </w:tc>
        <w:tc>
          <w:tcPr>
            <w:tcW w:w="2311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>ГОСТ Р МЭК 62682-2019</w:t>
            </w:r>
          </w:p>
        </w:tc>
        <w:tc>
          <w:tcPr>
            <w:tcW w:w="7435" w:type="dxa"/>
            <w:shd w:val="clear" w:color="auto" w:fill="D0D0D0"/>
          </w:tcPr>
          <w:p w:rsidR="00A261C7" w:rsidRDefault="00A261C7" w:rsidP="00A261C7">
            <w:pPr>
              <w:widowControl w:val="0"/>
              <w:spacing w:after="0" w:line="240" w:lineRule="auto"/>
              <w:ind w:left="-55" w:firstLine="55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</w:rPr>
              <w:t xml:space="preserve">Системы аварийной сигнализации для обрабатывающей промышленности </w:t>
            </w:r>
          </w:p>
        </w:tc>
      </w:tr>
    </w:tbl>
    <w:p w:rsidR="003207DF" w:rsidRDefault="003207DF" w:rsidP="00A261C7">
      <w:pPr>
        <w:ind w:left="-993" w:firstLine="993"/>
      </w:pPr>
    </w:p>
    <w:sectPr w:rsidR="0032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4498"/>
    <w:multiLevelType w:val="multilevel"/>
    <w:tmpl w:val="98301686"/>
    <w:lvl w:ilvl="0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</w:lvl>
    <w:lvl w:ilvl="2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360"/>
      </w:pPr>
    </w:lvl>
    <w:lvl w:ilvl="4">
      <w:start w:val="1"/>
      <w:numFmt w:val="decimal"/>
      <w:lvlText w:val="%5."/>
      <w:lvlJc w:val="left"/>
      <w:pPr>
        <w:tabs>
          <w:tab w:val="num" w:pos="2261"/>
        </w:tabs>
        <w:ind w:left="2261" w:hanging="360"/>
      </w:pPr>
    </w:lvl>
    <w:lvl w:ilvl="5">
      <w:start w:val="1"/>
      <w:numFmt w:val="decimal"/>
      <w:lvlText w:val="%6."/>
      <w:lvlJc w:val="left"/>
      <w:pPr>
        <w:tabs>
          <w:tab w:val="num" w:pos="2621"/>
        </w:tabs>
        <w:ind w:left="2621" w:hanging="360"/>
      </w:pPr>
    </w:lvl>
    <w:lvl w:ilvl="6">
      <w:start w:val="1"/>
      <w:numFmt w:val="decimal"/>
      <w:lvlText w:val="%7."/>
      <w:lvlJc w:val="left"/>
      <w:pPr>
        <w:tabs>
          <w:tab w:val="num" w:pos="2981"/>
        </w:tabs>
        <w:ind w:left="2981" w:hanging="360"/>
      </w:pPr>
    </w:lvl>
    <w:lvl w:ilvl="7">
      <w:start w:val="1"/>
      <w:numFmt w:val="decimal"/>
      <w:lvlText w:val="%8."/>
      <w:lvlJc w:val="left"/>
      <w:pPr>
        <w:tabs>
          <w:tab w:val="num" w:pos="3341"/>
        </w:tabs>
        <w:ind w:left="3341" w:hanging="360"/>
      </w:pPr>
    </w:lvl>
    <w:lvl w:ilvl="8">
      <w:start w:val="1"/>
      <w:numFmt w:val="decimal"/>
      <w:lvlText w:val="%9."/>
      <w:lvlJc w:val="left"/>
      <w:pPr>
        <w:tabs>
          <w:tab w:val="num" w:pos="3701"/>
        </w:tabs>
        <w:ind w:left="37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F6"/>
    <w:rsid w:val="003207DF"/>
    <w:rsid w:val="00A261C7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B17C-E31A-424B-8ED4-195E5CDF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1C7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Макиева</dc:creator>
  <cp:keywords/>
  <dc:description/>
  <cp:lastModifiedBy>Алена Ю. Макиева</cp:lastModifiedBy>
  <cp:revision>2</cp:revision>
  <dcterms:created xsi:type="dcterms:W3CDTF">2020-07-03T11:21:00Z</dcterms:created>
  <dcterms:modified xsi:type="dcterms:W3CDTF">2020-07-03T11:21:00Z</dcterms:modified>
</cp:coreProperties>
</file>