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DD0FD" w14:textId="77777777" w:rsidR="00530EA0" w:rsidRPr="00CA5240" w:rsidRDefault="00530EA0" w:rsidP="00530EA0">
      <w:pPr>
        <w:spacing w:before="60" w:after="60"/>
        <w:jc w:val="both"/>
      </w:pPr>
    </w:p>
    <w:p w14:paraId="06874332" w14:textId="6211FECC" w:rsidR="000A51BF" w:rsidRPr="00A400BE" w:rsidRDefault="000A51BF" w:rsidP="00F2694E">
      <w:pPr>
        <w:spacing w:before="240" w:after="240"/>
        <w:jc w:val="center"/>
        <w:rPr>
          <w:b/>
        </w:rPr>
      </w:pPr>
      <w:r w:rsidRPr="00A400BE">
        <w:rPr>
          <w:b/>
        </w:rPr>
        <w:t xml:space="preserve">Сведения об </w:t>
      </w:r>
      <w:r w:rsidR="003F5697">
        <w:rPr>
          <w:b/>
        </w:rPr>
        <w:t>особенностях ведения ФГБУ «Институт стандартизации»</w:t>
      </w:r>
      <w:r w:rsidRPr="00A400BE">
        <w:rPr>
          <w:b/>
        </w:rPr>
        <w:t xml:space="preserve"> бухгалтерского учета</w:t>
      </w:r>
      <w:r w:rsidR="003F5697">
        <w:rPr>
          <w:b/>
        </w:rPr>
        <w:t xml:space="preserve"> в 202</w:t>
      </w:r>
      <w:r w:rsidR="00D101E7">
        <w:rPr>
          <w:b/>
        </w:rPr>
        <w:t>4</w:t>
      </w:r>
      <w:bookmarkStart w:id="0" w:name="_GoBack"/>
      <w:bookmarkEnd w:id="0"/>
      <w:r w:rsidR="003F5697">
        <w:rPr>
          <w:b/>
        </w:rPr>
        <w:t xml:space="preserve"> году.</w:t>
      </w:r>
    </w:p>
    <w:p w14:paraId="0E297B02" w14:textId="77777777" w:rsidR="00A400BE" w:rsidRPr="00CA5240" w:rsidRDefault="00A400BE" w:rsidP="00A400BE">
      <w:pPr>
        <w:spacing w:before="60" w:after="60"/>
        <w:ind w:firstLine="709"/>
        <w:jc w:val="both"/>
      </w:pPr>
      <w:proofErr w:type="gramStart"/>
      <w:r w:rsidRPr="00CA5240">
        <w:t xml:space="preserve">Согласно п. 1.4 Приказа об учетной политики Учреждения публичное раскрытие особенностей учетной политики реализуется Учреждением  путем </w:t>
      </w:r>
      <w:bookmarkStart w:id="1" w:name="_Hlk10605575"/>
      <w:r w:rsidRPr="00CA5240">
        <w:t>размещения обобщенной информации, содержащей основные положения (перечень основных способов ведения учета (особенностей)</w:t>
      </w:r>
      <w:bookmarkEnd w:id="1"/>
      <w:r w:rsidRPr="00CA5240">
        <w:t>, установленные документами учетной политики, с указанием их реквизитов (без размещения копий самих актов)</w:t>
      </w:r>
      <w:proofErr w:type="gramEnd"/>
    </w:p>
    <w:p w14:paraId="6860A4C9" w14:textId="77777777" w:rsidR="00A400BE" w:rsidRPr="00CA5240" w:rsidRDefault="00A400BE" w:rsidP="00A400BE">
      <w:pPr>
        <w:pStyle w:val="js-clipboard-title"/>
        <w:shd w:val="clear" w:color="auto" w:fill="FFFFFF"/>
        <w:spacing w:before="0" w:beforeAutospacing="0" w:after="0" w:afterAutospacing="0"/>
        <w:ind w:firstLine="709"/>
      </w:pPr>
      <w:r w:rsidRPr="00CA5240">
        <w:t>(основание: п. 9 СГС «Учетная политика, оценочные значения, ошибки», Письмо Минфина России от 31.08.2018 № 02-06-07/62480 О направлении Методических указаний по применению положений СГС "Учетная политика, оценочные значения и ошибки")</w:t>
      </w:r>
    </w:p>
    <w:p w14:paraId="5E9EA18A" w14:textId="77777777" w:rsidR="00A400BE" w:rsidRPr="00CA5240" w:rsidRDefault="00A400BE" w:rsidP="00F2694E">
      <w:pPr>
        <w:spacing w:before="240" w:after="240"/>
        <w:jc w:val="center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3119"/>
        <w:gridCol w:w="2233"/>
      </w:tblGrid>
      <w:tr w:rsidR="000A51BF" w:rsidRPr="00CA5240" w14:paraId="0D5E0EDC" w14:textId="77777777" w:rsidTr="00B91DD0">
        <w:tc>
          <w:tcPr>
            <w:tcW w:w="2376" w:type="dxa"/>
          </w:tcPr>
          <w:p w14:paraId="06A801E7" w14:textId="77777777" w:rsidR="000A51BF" w:rsidRPr="00CA5240" w:rsidRDefault="000A51BF" w:rsidP="006147A3">
            <w:pPr>
              <w:jc w:val="center"/>
            </w:pPr>
            <w:r w:rsidRPr="00CA5240">
              <w:t>Наименование объекта учета</w:t>
            </w:r>
          </w:p>
        </w:tc>
        <w:tc>
          <w:tcPr>
            <w:tcW w:w="1843" w:type="dxa"/>
          </w:tcPr>
          <w:p w14:paraId="765DBB6E" w14:textId="77777777" w:rsidR="000A51BF" w:rsidRPr="00CA5240" w:rsidRDefault="000A51BF" w:rsidP="006147A3">
            <w:pPr>
              <w:jc w:val="center"/>
            </w:pPr>
            <w:r w:rsidRPr="00CA5240">
              <w:t>Код счета бухгалтерского учета</w:t>
            </w:r>
          </w:p>
        </w:tc>
        <w:tc>
          <w:tcPr>
            <w:tcW w:w="3119" w:type="dxa"/>
          </w:tcPr>
          <w:p w14:paraId="04EC53DD" w14:textId="77777777" w:rsidR="000A51BF" w:rsidRPr="00CA5240" w:rsidRDefault="000A51BF" w:rsidP="006147A3">
            <w:pPr>
              <w:jc w:val="center"/>
            </w:pPr>
            <w:r w:rsidRPr="00CA5240">
              <w:t>Характеристика метода оценки и момент отражения операции в учете</w:t>
            </w:r>
          </w:p>
        </w:tc>
        <w:tc>
          <w:tcPr>
            <w:tcW w:w="2233" w:type="dxa"/>
          </w:tcPr>
          <w:p w14:paraId="795A0426" w14:textId="77777777" w:rsidR="000A51BF" w:rsidRPr="00CA5240" w:rsidRDefault="000A51BF" w:rsidP="006147A3">
            <w:pPr>
              <w:jc w:val="center"/>
            </w:pPr>
            <w:r w:rsidRPr="00CA5240">
              <w:t>Правовое обоснование</w:t>
            </w:r>
          </w:p>
        </w:tc>
      </w:tr>
      <w:tr w:rsidR="000A51BF" w:rsidRPr="00CA5240" w14:paraId="3F2A5D70" w14:textId="77777777" w:rsidTr="00B91DD0">
        <w:tc>
          <w:tcPr>
            <w:tcW w:w="2376" w:type="dxa"/>
          </w:tcPr>
          <w:p w14:paraId="6C6CB482" w14:textId="77777777" w:rsidR="000A51BF" w:rsidRPr="00CA5240" w:rsidRDefault="000A51BF" w:rsidP="006147A3">
            <w:pPr>
              <w:jc w:val="center"/>
            </w:pPr>
            <w:r w:rsidRPr="00CA5240">
              <w:t>1</w:t>
            </w:r>
          </w:p>
        </w:tc>
        <w:tc>
          <w:tcPr>
            <w:tcW w:w="1843" w:type="dxa"/>
          </w:tcPr>
          <w:p w14:paraId="2155CDF9" w14:textId="77777777" w:rsidR="000A51BF" w:rsidRPr="00CA5240" w:rsidRDefault="000A51BF" w:rsidP="006147A3">
            <w:pPr>
              <w:jc w:val="center"/>
            </w:pPr>
            <w:r w:rsidRPr="00CA5240">
              <w:t>2</w:t>
            </w:r>
          </w:p>
        </w:tc>
        <w:tc>
          <w:tcPr>
            <w:tcW w:w="3119" w:type="dxa"/>
          </w:tcPr>
          <w:p w14:paraId="73CB8EEA" w14:textId="77777777" w:rsidR="000A51BF" w:rsidRPr="00CA5240" w:rsidRDefault="000A51BF" w:rsidP="006147A3">
            <w:pPr>
              <w:jc w:val="center"/>
            </w:pPr>
            <w:r w:rsidRPr="00CA5240">
              <w:t>3</w:t>
            </w:r>
          </w:p>
        </w:tc>
        <w:tc>
          <w:tcPr>
            <w:tcW w:w="2233" w:type="dxa"/>
          </w:tcPr>
          <w:p w14:paraId="63368F75" w14:textId="77777777" w:rsidR="000A51BF" w:rsidRPr="00CA5240" w:rsidRDefault="000A51BF" w:rsidP="006147A3">
            <w:pPr>
              <w:jc w:val="center"/>
            </w:pPr>
            <w:r w:rsidRPr="00CA5240">
              <w:t>4</w:t>
            </w:r>
          </w:p>
        </w:tc>
      </w:tr>
      <w:tr w:rsidR="00AF67B8" w:rsidRPr="00CA5240" w14:paraId="0984307E" w14:textId="77777777" w:rsidTr="00B91DD0">
        <w:trPr>
          <w:trHeight w:val="3536"/>
        </w:trPr>
        <w:tc>
          <w:tcPr>
            <w:tcW w:w="2376" w:type="dxa"/>
          </w:tcPr>
          <w:p w14:paraId="574F54AC" w14:textId="77777777" w:rsidR="00AF67B8" w:rsidRPr="00CA5240" w:rsidRDefault="00AF67B8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Основные средства</w:t>
            </w:r>
          </w:p>
        </w:tc>
        <w:tc>
          <w:tcPr>
            <w:tcW w:w="1843" w:type="dxa"/>
          </w:tcPr>
          <w:p w14:paraId="19703329" w14:textId="77777777" w:rsidR="00AF67B8" w:rsidRPr="00CA5240" w:rsidRDefault="00AF67B8" w:rsidP="00645AD1">
            <w:pPr>
              <w:jc w:val="center"/>
            </w:pPr>
            <w:r w:rsidRPr="00CA5240">
              <w:t>0.101.00.000</w:t>
            </w:r>
          </w:p>
        </w:tc>
        <w:tc>
          <w:tcPr>
            <w:tcW w:w="3119" w:type="dxa"/>
          </w:tcPr>
          <w:p w14:paraId="00677C39" w14:textId="2592BDDA" w:rsidR="00AF67B8" w:rsidRPr="00CA5240" w:rsidRDefault="00AF67B8" w:rsidP="00AF67B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CA5240">
              <w:rPr>
                <w:bCs/>
                <w:iCs/>
              </w:rPr>
              <w:t xml:space="preserve">Оценка справедливой стоимости при необменных операциях осуществляется </w:t>
            </w:r>
            <w:r w:rsidRPr="00CA5240">
              <w:t xml:space="preserve">комиссией по поступлению активов Учреждения </w:t>
            </w:r>
            <w:r w:rsidRPr="00CA5240">
              <w:rPr>
                <w:bCs/>
                <w:iCs/>
              </w:rPr>
              <w:t>по следующим условиям:</w:t>
            </w:r>
          </w:p>
          <w:p w14:paraId="532DD15F" w14:textId="118B69AF" w:rsidR="00AF67B8" w:rsidRPr="00CA5240" w:rsidRDefault="00AF67B8" w:rsidP="00B91D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CA5240">
              <w:t xml:space="preserve">- </w:t>
            </w:r>
            <w:r w:rsidRPr="00CA5240">
              <w:rPr>
                <w:b/>
                <w:i/>
              </w:rPr>
              <w:t xml:space="preserve"> методом рыночных цен, </w:t>
            </w:r>
            <w:r w:rsidRPr="00CA5240">
              <w:t>если объект ранее не находился в эксплуатации,  при этом используется средняя стоимость, сложившаяся на рынке</w:t>
            </w:r>
          </w:p>
        </w:tc>
        <w:tc>
          <w:tcPr>
            <w:tcW w:w="2233" w:type="dxa"/>
          </w:tcPr>
          <w:p w14:paraId="1FC5FCE9" w14:textId="77777777" w:rsidR="00AF67B8" w:rsidRPr="00CA5240" w:rsidRDefault="00AF67B8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6C71FB" w:rsidRPr="00CA5240" w14:paraId="6FF32266" w14:textId="77777777" w:rsidTr="00B91DD0">
        <w:trPr>
          <w:trHeight w:val="543"/>
        </w:trPr>
        <w:tc>
          <w:tcPr>
            <w:tcW w:w="2376" w:type="dxa"/>
          </w:tcPr>
          <w:p w14:paraId="2F450DF1" w14:textId="77777777" w:rsidR="006C71FB" w:rsidRPr="00CA5240" w:rsidRDefault="006C71FB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Основные средства</w:t>
            </w:r>
          </w:p>
        </w:tc>
        <w:tc>
          <w:tcPr>
            <w:tcW w:w="1843" w:type="dxa"/>
          </w:tcPr>
          <w:p w14:paraId="0734AAED" w14:textId="77777777" w:rsidR="006C71FB" w:rsidRPr="00CA5240" w:rsidRDefault="006C71FB" w:rsidP="00645AD1">
            <w:pPr>
              <w:jc w:val="center"/>
            </w:pPr>
            <w:r w:rsidRPr="00CA5240">
              <w:t>0.101.00.000</w:t>
            </w:r>
          </w:p>
        </w:tc>
        <w:tc>
          <w:tcPr>
            <w:tcW w:w="3119" w:type="dxa"/>
          </w:tcPr>
          <w:p w14:paraId="00F4AD60" w14:textId="1E7B40DC" w:rsidR="006C71FB" w:rsidRPr="00CA5240" w:rsidRDefault="006C71FB" w:rsidP="00B91DD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A5240">
              <w:rPr>
                <w:bCs/>
                <w:iCs/>
              </w:rPr>
              <w:t>Оценка срока полезного использования осуществляется исходя из ожидаемого срока получения экономических выгод и (или) полезного потенциала, заключенных в активе, признаваемом объектом основных средств (п. 35а СГС «Основные средства)</w:t>
            </w:r>
          </w:p>
        </w:tc>
        <w:tc>
          <w:tcPr>
            <w:tcW w:w="2233" w:type="dxa"/>
          </w:tcPr>
          <w:p w14:paraId="45ABEEC0" w14:textId="77777777" w:rsidR="006C71FB" w:rsidRPr="00CA5240" w:rsidRDefault="006C71FB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55283" w:rsidRPr="00CA5240" w14:paraId="61F19E67" w14:textId="77777777" w:rsidTr="00B91DD0">
        <w:trPr>
          <w:trHeight w:val="543"/>
        </w:trPr>
        <w:tc>
          <w:tcPr>
            <w:tcW w:w="2376" w:type="dxa"/>
          </w:tcPr>
          <w:p w14:paraId="5D7BA8E0" w14:textId="77777777" w:rsidR="00C55283" w:rsidRPr="00CA5240" w:rsidRDefault="00C55283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Основные средства</w:t>
            </w:r>
          </w:p>
        </w:tc>
        <w:tc>
          <w:tcPr>
            <w:tcW w:w="1843" w:type="dxa"/>
          </w:tcPr>
          <w:p w14:paraId="6C0A8319" w14:textId="77777777" w:rsidR="00C55283" w:rsidRPr="00CA5240" w:rsidRDefault="00C55283" w:rsidP="00645AD1">
            <w:pPr>
              <w:jc w:val="center"/>
            </w:pPr>
            <w:r w:rsidRPr="00CA5240">
              <w:t>0.101.00.000</w:t>
            </w:r>
          </w:p>
        </w:tc>
        <w:tc>
          <w:tcPr>
            <w:tcW w:w="3119" w:type="dxa"/>
          </w:tcPr>
          <w:p w14:paraId="6A543B3C" w14:textId="77777777" w:rsidR="00C55283" w:rsidRPr="00CA5240" w:rsidRDefault="00C55283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 xml:space="preserve">Правила объединения основных средств один инвентарный объект при несущественной стоимости не применяется </w:t>
            </w:r>
          </w:p>
        </w:tc>
        <w:tc>
          <w:tcPr>
            <w:tcW w:w="2233" w:type="dxa"/>
          </w:tcPr>
          <w:p w14:paraId="3C714F07" w14:textId="77777777" w:rsidR="00C55283" w:rsidRPr="00CA5240" w:rsidRDefault="00C55283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55283" w:rsidRPr="00CA5240" w14:paraId="0C0A6F77" w14:textId="77777777" w:rsidTr="00B91DD0">
        <w:trPr>
          <w:trHeight w:val="543"/>
        </w:trPr>
        <w:tc>
          <w:tcPr>
            <w:tcW w:w="2376" w:type="dxa"/>
          </w:tcPr>
          <w:p w14:paraId="0D56AD9D" w14:textId="77777777" w:rsidR="00C55283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Основные средства</w:t>
            </w:r>
          </w:p>
        </w:tc>
        <w:tc>
          <w:tcPr>
            <w:tcW w:w="1843" w:type="dxa"/>
          </w:tcPr>
          <w:p w14:paraId="514F0B7E" w14:textId="77777777" w:rsidR="00C55283" w:rsidRPr="00CA5240" w:rsidRDefault="00CA5240" w:rsidP="00645AD1">
            <w:pPr>
              <w:jc w:val="center"/>
            </w:pPr>
            <w:r w:rsidRPr="00CA5240">
              <w:t>0.101.00.000</w:t>
            </w:r>
          </w:p>
        </w:tc>
        <w:tc>
          <w:tcPr>
            <w:tcW w:w="3119" w:type="dxa"/>
          </w:tcPr>
          <w:p w14:paraId="6078C819" w14:textId="77777777" w:rsidR="00C55283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Структурная часть объекта как единица учета не  выделяется</w:t>
            </w:r>
          </w:p>
        </w:tc>
        <w:tc>
          <w:tcPr>
            <w:tcW w:w="2233" w:type="dxa"/>
          </w:tcPr>
          <w:p w14:paraId="14A1536E" w14:textId="77777777" w:rsidR="00C55283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по учетной политике</w:t>
            </w:r>
          </w:p>
        </w:tc>
      </w:tr>
      <w:tr w:rsidR="006C71FB" w:rsidRPr="00CA5240" w14:paraId="3FF94543" w14:textId="77777777" w:rsidTr="00B91DD0">
        <w:trPr>
          <w:trHeight w:val="543"/>
        </w:trPr>
        <w:tc>
          <w:tcPr>
            <w:tcW w:w="2376" w:type="dxa"/>
          </w:tcPr>
          <w:p w14:paraId="0762ED2B" w14:textId="77777777" w:rsidR="006C71FB" w:rsidRPr="00CA5240" w:rsidRDefault="00DE0ADC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lastRenderedPageBreak/>
              <w:t>Амортизация основных средств</w:t>
            </w:r>
          </w:p>
        </w:tc>
        <w:tc>
          <w:tcPr>
            <w:tcW w:w="1843" w:type="dxa"/>
          </w:tcPr>
          <w:p w14:paraId="7931424A" w14:textId="77777777" w:rsidR="006C71FB" w:rsidRPr="00CA5240" w:rsidRDefault="00DE0ADC" w:rsidP="00645AD1">
            <w:pPr>
              <w:jc w:val="center"/>
            </w:pPr>
            <w:r w:rsidRPr="00CA5240">
              <w:t>0.104.00.000</w:t>
            </w:r>
          </w:p>
        </w:tc>
        <w:tc>
          <w:tcPr>
            <w:tcW w:w="3119" w:type="dxa"/>
          </w:tcPr>
          <w:p w14:paraId="71C90F82" w14:textId="77777777" w:rsidR="006C71FB" w:rsidRPr="00CA5240" w:rsidRDefault="00DE0ADC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Линейный метод</w:t>
            </w:r>
          </w:p>
        </w:tc>
        <w:tc>
          <w:tcPr>
            <w:tcW w:w="2233" w:type="dxa"/>
          </w:tcPr>
          <w:p w14:paraId="4964ED88" w14:textId="77777777" w:rsidR="006C71FB" w:rsidRPr="00CA5240" w:rsidRDefault="00DE0ADC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50245381" w14:textId="77777777" w:rsidTr="00B91DD0">
        <w:trPr>
          <w:trHeight w:val="543"/>
        </w:trPr>
        <w:tc>
          <w:tcPr>
            <w:tcW w:w="2376" w:type="dxa"/>
          </w:tcPr>
          <w:p w14:paraId="58E2E06C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Амортизация основных средств</w:t>
            </w:r>
          </w:p>
        </w:tc>
        <w:tc>
          <w:tcPr>
            <w:tcW w:w="1843" w:type="dxa"/>
          </w:tcPr>
          <w:p w14:paraId="12C87B36" w14:textId="77777777" w:rsidR="00CA5240" w:rsidRPr="00CA5240" w:rsidRDefault="00CA5240" w:rsidP="00645AD1">
            <w:pPr>
              <w:jc w:val="center"/>
            </w:pPr>
            <w:r w:rsidRPr="00CA5240">
              <w:t>0.104.00.000</w:t>
            </w:r>
          </w:p>
        </w:tc>
        <w:tc>
          <w:tcPr>
            <w:tcW w:w="3119" w:type="dxa"/>
          </w:tcPr>
          <w:p w14:paraId="0D7F2D56" w14:textId="732DEAC7" w:rsidR="00CA5240" w:rsidRPr="00CA5240" w:rsidRDefault="00CA5240" w:rsidP="00B91DD0">
            <w:pPr>
              <w:autoSpaceDE w:val="0"/>
              <w:autoSpaceDN w:val="0"/>
              <w:adjustRightInd w:val="0"/>
              <w:jc w:val="both"/>
            </w:pPr>
            <w:r w:rsidRPr="00CA5240">
              <w:t xml:space="preserve">При переоценке объекта основных средств накопленная амортизация на дату переоценки пересчитывается   </w:t>
            </w:r>
            <w:proofErr w:type="spellStart"/>
            <w:proofErr w:type="gramStart"/>
            <w:r w:rsidRPr="00CA5240">
              <w:t>пересчитывается</w:t>
            </w:r>
            <w:proofErr w:type="spellEnd"/>
            <w:proofErr w:type="gramEnd"/>
            <w:r w:rsidRPr="00CA5240">
              <w:t xml:space="preserve">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 Указанный способ предусматривает увеличение (умножение) балансовой стоимости и накопленной амортизации на одинаковый коэффициент таким образом, чтобы при их суммировании получить переоцененную стоимость на дату проведения переоценки</w:t>
            </w:r>
          </w:p>
        </w:tc>
        <w:tc>
          <w:tcPr>
            <w:tcW w:w="2233" w:type="dxa"/>
          </w:tcPr>
          <w:p w14:paraId="62FAF20A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2FF263E6" w14:textId="77777777" w:rsidTr="00B91DD0">
        <w:trPr>
          <w:trHeight w:val="543"/>
        </w:trPr>
        <w:tc>
          <w:tcPr>
            <w:tcW w:w="2376" w:type="dxa"/>
          </w:tcPr>
          <w:p w14:paraId="1CA46EF5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Нематериальные активы</w:t>
            </w:r>
          </w:p>
        </w:tc>
        <w:tc>
          <w:tcPr>
            <w:tcW w:w="1843" w:type="dxa"/>
          </w:tcPr>
          <w:p w14:paraId="6B41607A" w14:textId="77777777" w:rsidR="00CA5240" w:rsidRPr="00CA5240" w:rsidRDefault="00CA5240" w:rsidP="00645AD1">
            <w:pPr>
              <w:jc w:val="center"/>
            </w:pPr>
            <w:r w:rsidRPr="00CA5240">
              <w:t>0.102.00.000</w:t>
            </w:r>
          </w:p>
        </w:tc>
        <w:tc>
          <w:tcPr>
            <w:tcW w:w="3119" w:type="dxa"/>
          </w:tcPr>
          <w:p w14:paraId="33291C99" w14:textId="79740698" w:rsidR="00CA5240" w:rsidRPr="00CA5240" w:rsidRDefault="00CA5240" w:rsidP="00B91DD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A5240">
              <w:rPr>
                <w:bCs/>
                <w:iCs/>
              </w:rPr>
              <w:t xml:space="preserve">Оценка срока полезного использования осуществляется исходя из ожидаемого срока получения экономических выгод и </w:t>
            </w:r>
            <w:proofErr w:type="gramStart"/>
            <w:r w:rsidRPr="00CA5240">
              <w:rPr>
                <w:bCs/>
                <w:iCs/>
              </w:rPr>
              <w:t>пересматривается</w:t>
            </w:r>
            <w:proofErr w:type="gramEnd"/>
            <w:r w:rsidRPr="00CA5240">
              <w:rPr>
                <w:bCs/>
                <w:iCs/>
              </w:rPr>
              <w:t xml:space="preserve">/уточняется ежегодно по состоянию на отчетную дату (п. </w:t>
            </w:r>
            <w:r w:rsidR="00D22D44">
              <w:rPr>
                <w:bCs/>
                <w:iCs/>
              </w:rPr>
              <w:t>61 Приказа Минфина № 157н</w:t>
            </w:r>
            <w:r w:rsidRPr="00CA5240">
              <w:rPr>
                <w:bCs/>
                <w:iCs/>
              </w:rPr>
              <w:t>)</w:t>
            </w:r>
          </w:p>
        </w:tc>
        <w:tc>
          <w:tcPr>
            <w:tcW w:w="2233" w:type="dxa"/>
          </w:tcPr>
          <w:p w14:paraId="4B3AF5BE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5AB67EAA" w14:textId="77777777" w:rsidTr="00B91DD0">
        <w:trPr>
          <w:trHeight w:val="543"/>
        </w:trPr>
        <w:tc>
          <w:tcPr>
            <w:tcW w:w="2376" w:type="dxa"/>
          </w:tcPr>
          <w:p w14:paraId="00EF3B49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Материальные запасы (выбытие)</w:t>
            </w:r>
          </w:p>
        </w:tc>
        <w:tc>
          <w:tcPr>
            <w:tcW w:w="1843" w:type="dxa"/>
          </w:tcPr>
          <w:p w14:paraId="74C212FE" w14:textId="77777777" w:rsidR="00CA5240" w:rsidRPr="00CA5240" w:rsidRDefault="00CA5240" w:rsidP="00645AD1">
            <w:pPr>
              <w:jc w:val="center"/>
            </w:pPr>
            <w:r w:rsidRPr="00CA5240">
              <w:t>0.105.00.000</w:t>
            </w:r>
          </w:p>
        </w:tc>
        <w:tc>
          <w:tcPr>
            <w:tcW w:w="3119" w:type="dxa"/>
          </w:tcPr>
          <w:p w14:paraId="545F924F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Списываются по средней фактической стоимости</w:t>
            </w:r>
          </w:p>
        </w:tc>
        <w:tc>
          <w:tcPr>
            <w:tcW w:w="2233" w:type="dxa"/>
          </w:tcPr>
          <w:p w14:paraId="717CC5A0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 xml:space="preserve">Приказ об учетной политике </w:t>
            </w:r>
          </w:p>
        </w:tc>
      </w:tr>
      <w:tr w:rsidR="00CA5240" w:rsidRPr="00CA5240" w14:paraId="6C847DE9" w14:textId="77777777" w:rsidTr="00B91DD0">
        <w:trPr>
          <w:trHeight w:val="5208"/>
        </w:trPr>
        <w:tc>
          <w:tcPr>
            <w:tcW w:w="2376" w:type="dxa"/>
          </w:tcPr>
          <w:p w14:paraId="1B550617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lastRenderedPageBreak/>
              <w:t>Материальные запасы (металлолом при ликвидации основных средств)</w:t>
            </w:r>
          </w:p>
        </w:tc>
        <w:tc>
          <w:tcPr>
            <w:tcW w:w="1843" w:type="dxa"/>
          </w:tcPr>
          <w:p w14:paraId="27D76837" w14:textId="77777777" w:rsidR="00CA5240" w:rsidRPr="00CA5240" w:rsidRDefault="00CA5240" w:rsidP="00645AD1">
            <w:pPr>
              <w:jc w:val="center"/>
            </w:pPr>
            <w:r w:rsidRPr="00CA5240">
              <w:t>2.105.36.000</w:t>
            </w:r>
          </w:p>
        </w:tc>
        <w:tc>
          <w:tcPr>
            <w:tcW w:w="3119" w:type="dxa"/>
          </w:tcPr>
          <w:p w14:paraId="0DC5C0E1" w14:textId="77777777" w:rsidR="00CA5240" w:rsidRPr="00CA5240" w:rsidRDefault="00CA5240" w:rsidP="00C5528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CA5240">
              <w:rPr>
                <w:bCs/>
                <w:iCs/>
              </w:rPr>
              <w:t>Оценка справедливой стоимости (текущей оценочной)  при необменных операциях (металлолом при ликвидации основных средств) определяется комиссией по данным СМИ</w:t>
            </w:r>
          </w:p>
        </w:tc>
        <w:tc>
          <w:tcPr>
            <w:tcW w:w="2233" w:type="dxa"/>
          </w:tcPr>
          <w:p w14:paraId="7685225F" w14:textId="77777777" w:rsidR="00CA5240" w:rsidRPr="00CA5240" w:rsidRDefault="00CA5240" w:rsidP="00645AD1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2D750E2E" w14:textId="77777777" w:rsidTr="00B91DD0">
        <w:tc>
          <w:tcPr>
            <w:tcW w:w="2376" w:type="dxa"/>
          </w:tcPr>
          <w:p w14:paraId="7ED8C3F2" w14:textId="77777777" w:rsidR="00CA5240" w:rsidRPr="00CA5240" w:rsidRDefault="00CA5240" w:rsidP="006147A3">
            <w:pPr>
              <w:jc w:val="center"/>
            </w:pPr>
            <w:r w:rsidRPr="00CA5240">
              <w:t xml:space="preserve">Затраты </w:t>
            </w:r>
          </w:p>
        </w:tc>
        <w:tc>
          <w:tcPr>
            <w:tcW w:w="1843" w:type="dxa"/>
          </w:tcPr>
          <w:p w14:paraId="5CE2280A" w14:textId="77777777" w:rsidR="00CA5240" w:rsidRPr="00CA5240" w:rsidRDefault="00CA5240" w:rsidP="006147A3">
            <w:pPr>
              <w:jc w:val="center"/>
            </w:pPr>
            <w:r w:rsidRPr="00CA5240">
              <w:t>0.109.60.000</w:t>
            </w:r>
          </w:p>
        </w:tc>
        <w:tc>
          <w:tcPr>
            <w:tcW w:w="3119" w:type="dxa"/>
          </w:tcPr>
          <w:p w14:paraId="6B26F94C" w14:textId="77777777" w:rsidR="00CA5240" w:rsidRPr="00CA5240" w:rsidRDefault="00CA5240" w:rsidP="006147A3">
            <w:pPr>
              <w:jc w:val="center"/>
            </w:pPr>
            <w:r w:rsidRPr="00CA5240">
              <w:t>Состав прямых расходов</w:t>
            </w:r>
          </w:p>
          <w:p w14:paraId="5136C781" w14:textId="77777777" w:rsidR="00CA5240" w:rsidRPr="00CA5240" w:rsidRDefault="00CA5240" w:rsidP="00981FF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CA5240">
              <w:t>затраты на оплату труда и начисления на выплаты по оплате труда персонала, непосредственно связанного с оказанием услуг (выполнением работ), производством готовой продукции;</w:t>
            </w:r>
          </w:p>
          <w:p w14:paraId="3D90731C" w14:textId="77777777" w:rsidR="00CA5240" w:rsidRPr="00CA5240" w:rsidRDefault="00CA5240" w:rsidP="00981FF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CA5240">
              <w:t>затраты на приобретение материальных запасов, потребляемых в процессе оказания услуги (выполнения работы), производства готовой продукции;</w:t>
            </w:r>
          </w:p>
          <w:p w14:paraId="699CCB71" w14:textId="77777777" w:rsidR="00CA5240" w:rsidRPr="00CA5240" w:rsidRDefault="00CA5240" w:rsidP="00981FF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CA5240">
              <w:t>затраты на оплату услуг сторонних организаций, непосредственно связанные с оказанием услуги (выполнением работы), производством готовой продукции.</w:t>
            </w:r>
          </w:p>
          <w:p w14:paraId="3F3598D3" w14:textId="77777777" w:rsidR="00CA5240" w:rsidRPr="00CA5240" w:rsidRDefault="00CA5240" w:rsidP="006147A3">
            <w:pPr>
              <w:jc w:val="center"/>
            </w:pPr>
          </w:p>
        </w:tc>
        <w:tc>
          <w:tcPr>
            <w:tcW w:w="2233" w:type="dxa"/>
          </w:tcPr>
          <w:p w14:paraId="0634AA47" w14:textId="77777777" w:rsidR="00CA5240" w:rsidRPr="00CA5240" w:rsidRDefault="00CA5240" w:rsidP="006147A3">
            <w:pPr>
              <w:jc w:val="center"/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3401D917" w14:textId="77777777" w:rsidTr="00B91DD0">
        <w:tc>
          <w:tcPr>
            <w:tcW w:w="2376" w:type="dxa"/>
          </w:tcPr>
          <w:p w14:paraId="7EADD0E0" w14:textId="77777777" w:rsidR="00CA5240" w:rsidRPr="00CA5240" w:rsidRDefault="00CA5240" w:rsidP="006147A3">
            <w:pPr>
              <w:jc w:val="center"/>
            </w:pPr>
            <w:r w:rsidRPr="00CA5240">
              <w:t>Накладные расходы</w:t>
            </w:r>
          </w:p>
        </w:tc>
        <w:tc>
          <w:tcPr>
            <w:tcW w:w="1843" w:type="dxa"/>
          </w:tcPr>
          <w:p w14:paraId="6D331D3B" w14:textId="77777777" w:rsidR="00CA5240" w:rsidRPr="00CA5240" w:rsidRDefault="00CA5240" w:rsidP="00981FFD">
            <w:pPr>
              <w:jc w:val="center"/>
            </w:pPr>
            <w:r w:rsidRPr="00CA5240">
              <w:t>0.109.70.000</w:t>
            </w:r>
          </w:p>
        </w:tc>
        <w:tc>
          <w:tcPr>
            <w:tcW w:w="3119" w:type="dxa"/>
          </w:tcPr>
          <w:p w14:paraId="5CF54403" w14:textId="77777777" w:rsidR="00CA5240" w:rsidRPr="00CA5240" w:rsidRDefault="00CA5240" w:rsidP="00AD033A">
            <w:r w:rsidRPr="00CA5240">
              <w:t>Состав накладных расходов:</w:t>
            </w:r>
          </w:p>
          <w:p w14:paraId="483F105D" w14:textId="77777777" w:rsidR="00CA5240" w:rsidRPr="00CA5240" w:rsidRDefault="00CA5240" w:rsidP="00AD033A">
            <w:pPr>
              <w:numPr>
                <w:ilvl w:val="1"/>
                <w:numId w:val="5"/>
              </w:numPr>
              <w:ind w:left="0" w:firstLine="0"/>
            </w:pPr>
            <w:r w:rsidRPr="00CA5240">
              <w:t xml:space="preserve">затраты на оплату труда и начисления на выплаты по оплате труда управленческого, </w:t>
            </w:r>
            <w:r w:rsidRPr="00CA5240">
              <w:lastRenderedPageBreak/>
              <w:t>хозяйственного и иного персонала, непосредственно связанного с оказанием услуг (выполнением работ), производством готовой продукции, т.е. состоящего в штате производственных отделов и участков;</w:t>
            </w:r>
          </w:p>
          <w:p w14:paraId="3663A17E" w14:textId="77777777" w:rsidR="00CA5240" w:rsidRPr="00CA5240" w:rsidRDefault="00CA5240" w:rsidP="00AD033A">
            <w:pPr>
              <w:numPr>
                <w:ilvl w:val="1"/>
                <w:numId w:val="5"/>
              </w:numPr>
              <w:ind w:left="0" w:firstLine="0"/>
            </w:pPr>
            <w:r w:rsidRPr="00CA5240">
              <w:t>затраты на коммунальные услуги, непосредственно связанные с оказанием работ, услуг и производством готовой продукции;</w:t>
            </w:r>
          </w:p>
          <w:p w14:paraId="35EA1FD8" w14:textId="77777777" w:rsidR="00B91DD0" w:rsidRDefault="00CA5240" w:rsidP="00B91DD0">
            <w:pPr>
              <w:numPr>
                <w:ilvl w:val="1"/>
                <w:numId w:val="5"/>
              </w:numPr>
              <w:ind w:left="0" w:firstLine="0"/>
            </w:pPr>
            <w:r w:rsidRPr="00CA5240">
              <w:t>затраты на оплату транспортных услуг, непосредственно связанные с оказанием работ, услуг и производством готовой продукции</w:t>
            </w:r>
          </w:p>
          <w:p w14:paraId="566C7011" w14:textId="63E727AE" w:rsidR="00CA5240" w:rsidRPr="00CA5240" w:rsidRDefault="00CA5240" w:rsidP="00B91DD0">
            <w:pPr>
              <w:numPr>
                <w:ilvl w:val="1"/>
                <w:numId w:val="5"/>
              </w:numPr>
              <w:ind w:left="0" w:firstLine="0"/>
            </w:pPr>
            <w:r w:rsidRPr="00CA5240">
              <w:t>прочие расходы</w:t>
            </w:r>
          </w:p>
        </w:tc>
        <w:tc>
          <w:tcPr>
            <w:tcW w:w="2233" w:type="dxa"/>
          </w:tcPr>
          <w:p w14:paraId="19141F4F" w14:textId="77777777" w:rsidR="00CA5240" w:rsidRPr="00CA5240" w:rsidRDefault="00CA5240" w:rsidP="006147A3">
            <w:pPr>
              <w:jc w:val="center"/>
              <w:rPr>
                <w:bCs/>
                <w:iCs/>
              </w:rPr>
            </w:pPr>
            <w:r w:rsidRPr="00CA5240">
              <w:rPr>
                <w:bCs/>
                <w:iCs/>
              </w:rPr>
              <w:lastRenderedPageBreak/>
              <w:t>Приказ об учетной политике</w:t>
            </w:r>
          </w:p>
        </w:tc>
      </w:tr>
      <w:tr w:rsidR="00CA5240" w:rsidRPr="00CA5240" w14:paraId="184356F4" w14:textId="77777777" w:rsidTr="00B91DD0">
        <w:tc>
          <w:tcPr>
            <w:tcW w:w="2376" w:type="dxa"/>
          </w:tcPr>
          <w:p w14:paraId="45F21475" w14:textId="77777777" w:rsidR="00CA5240" w:rsidRPr="00CA5240" w:rsidRDefault="00CA5240" w:rsidP="006147A3">
            <w:pPr>
              <w:jc w:val="center"/>
            </w:pPr>
            <w:r w:rsidRPr="00CA5240">
              <w:lastRenderedPageBreak/>
              <w:t>Общехозяйственные расходы</w:t>
            </w:r>
          </w:p>
        </w:tc>
        <w:tc>
          <w:tcPr>
            <w:tcW w:w="1843" w:type="dxa"/>
          </w:tcPr>
          <w:p w14:paraId="7307A2D2" w14:textId="77777777" w:rsidR="00CA5240" w:rsidRPr="00CA5240" w:rsidRDefault="00CA5240" w:rsidP="00981FFD">
            <w:pPr>
              <w:jc w:val="center"/>
            </w:pPr>
            <w:r w:rsidRPr="00CA5240">
              <w:t>0.109.80.000</w:t>
            </w:r>
          </w:p>
        </w:tc>
        <w:tc>
          <w:tcPr>
            <w:tcW w:w="3119" w:type="dxa"/>
          </w:tcPr>
          <w:p w14:paraId="06FE35B9" w14:textId="77777777" w:rsidR="00CA5240" w:rsidRPr="00CA5240" w:rsidRDefault="00CA5240" w:rsidP="00AD033A">
            <w:r w:rsidRPr="00CA5240">
              <w:t>Состав общехозяйственных расходов:</w:t>
            </w:r>
          </w:p>
          <w:p w14:paraId="615FAF2E" w14:textId="77777777" w:rsidR="00CA5240" w:rsidRPr="00CA5240" w:rsidRDefault="00CA5240" w:rsidP="00AD033A">
            <w:r w:rsidRPr="00CA5240">
              <w:t>- затраты на оплату труда и начисления на выплаты по оплате труда персонала, непосредственно не связанного с оказанием услуг (выполнением работ) – административно-управленческого, административно-хозяйственного и иного персонала;</w:t>
            </w:r>
          </w:p>
          <w:p w14:paraId="2ED061A9" w14:textId="77777777" w:rsidR="00CA5240" w:rsidRPr="00CA5240" w:rsidRDefault="00CA5240" w:rsidP="00AD033A">
            <w:r w:rsidRPr="00CA5240">
              <w:t>затраты на оплату юридических, справочных, консультационных и иные услуг, не включенных в состав прямых и накладных расходов.</w:t>
            </w:r>
          </w:p>
          <w:p w14:paraId="0B3F6418" w14:textId="77777777" w:rsidR="00CA5240" w:rsidRPr="00CA5240" w:rsidRDefault="00CA5240" w:rsidP="00AD033A">
            <w:r w:rsidRPr="00CA5240">
              <w:t>прочие косвенные затраты, не включенные в состав прямых и накладных расходов</w:t>
            </w:r>
          </w:p>
        </w:tc>
        <w:tc>
          <w:tcPr>
            <w:tcW w:w="2233" w:type="dxa"/>
          </w:tcPr>
          <w:p w14:paraId="19EF9C13" w14:textId="77777777" w:rsidR="00CA5240" w:rsidRPr="00CA5240" w:rsidRDefault="00CA5240" w:rsidP="006147A3">
            <w:pPr>
              <w:jc w:val="center"/>
              <w:rPr>
                <w:bCs/>
                <w:iCs/>
              </w:rPr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06E704A3" w14:textId="77777777" w:rsidTr="00B91DD0">
        <w:tc>
          <w:tcPr>
            <w:tcW w:w="2376" w:type="dxa"/>
          </w:tcPr>
          <w:p w14:paraId="6A6B7E25" w14:textId="77777777" w:rsidR="00CA5240" w:rsidRPr="00CA5240" w:rsidRDefault="00CA5240" w:rsidP="006147A3">
            <w:pPr>
              <w:jc w:val="center"/>
            </w:pPr>
            <w:proofErr w:type="gramStart"/>
            <w:r w:rsidRPr="00CA5240">
              <w:t>Незавершенное</w:t>
            </w:r>
            <w:proofErr w:type="gramEnd"/>
            <w:r w:rsidRPr="00CA5240">
              <w:t xml:space="preserve"> производства</w:t>
            </w:r>
          </w:p>
        </w:tc>
        <w:tc>
          <w:tcPr>
            <w:tcW w:w="1843" w:type="dxa"/>
          </w:tcPr>
          <w:p w14:paraId="38D3316D" w14:textId="7DB10CB5" w:rsidR="00CA5240" w:rsidRPr="00CA5240" w:rsidRDefault="00CA5240" w:rsidP="00981FFD">
            <w:pPr>
              <w:jc w:val="center"/>
            </w:pPr>
            <w:r w:rsidRPr="00CA5240">
              <w:t>0.109.6</w:t>
            </w:r>
            <w:r w:rsidR="00B91DD0">
              <w:t>0</w:t>
            </w:r>
            <w:r w:rsidRPr="00CA5240">
              <w:t>.000</w:t>
            </w:r>
          </w:p>
        </w:tc>
        <w:tc>
          <w:tcPr>
            <w:tcW w:w="3119" w:type="dxa"/>
          </w:tcPr>
          <w:p w14:paraId="191BF03A" w14:textId="39362123" w:rsidR="00CA5240" w:rsidRPr="00CA5240" w:rsidRDefault="00CA5240" w:rsidP="00AD033A">
            <w:r w:rsidRPr="00CA5240">
              <w:t>Оценка незавершенного производства (счет 109.6</w:t>
            </w:r>
            <w:r w:rsidR="00B91DD0">
              <w:t>0</w:t>
            </w:r>
            <w:r w:rsidRPr="00CA5240">
              <w:t xml:space="preserve">) осуществляется </w:t>
            </w:r>
            <w:r w:rsidR="00B91DD0">
              <w:t xml:space="preserve">по </w:t>
            </w:r>
            <w:r w:rsidRPr="00CA5240">
              <w:t xml:space="preserve">общепроизводственной себестоимости </w:t>
            </w:r>
          </w:p>
        </w:tc>
        <w:tc>
          <w:tcPr>
            <w:tcW w:w="2233" w:type="dxa"/>
          </w:tcPr>
          <w:p w14:paraId="5FDB9B70" w14:textId="77777777" w:rsidR="00CA5240" w:rsidRPr="00CA5240" w:rsidRDefault="00CA5240" w:rsidP="006147A3">
            <w:pPr>
              <w:jc w:val="center"/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5901E8ED" w14:textId="77777777" w:rsidTr="00B91DD0">
        <w:tc>
          <w:tcPr>
            <w:tcW w:w="2376" w:type="dxa"/>
          </w:tcPr>
          <w:p w14:paraId="13B31FB6" w14:textId="77777777" w:rsidR="00CA5240" w:rsidRPr="00CA5240" w:rsidRDefault="00CA5240" w:rsidP="006147A3">
            <w:pPr>
              <w:jc w:val="center"/>
            </w:pPr>
            <w:r w:rsidRPr="00CA5240">
              <w:t xml:space="preserve">Доходы от оказания услуг (работ) по </w:t>
            </w:r>
            <w:r w:rsidRPr="00CA5240">
              <w:lastRenderedPageBreak/>
              <w:t>выполнению государственного задания</w:t>
            </w:r>
          </w:p>
        </w:tc>
        <w:tc>
          <w:tcPr>
            <w:tcW w:w="1843" w:type="dxa"/>
          </w:tcPr>
          <w:p w14:paraId="59D43613" w14:textId="6AFAC0F5" w:rsidR="00CA5240" w:rsidRPr="00CA5240" w:rsidRDefault="00CA5240" w:rsidP="006147A3">
            <w:pPr>
              <w:jc w:val="center"/>
            </w:pPr>
            <w:r w:rsidRPr="00CA5240">
              <w:lastRenderedPageBreak/>
              <w:t>4.401.4</w:t>
            </w:r>
            <w:r w:rsidR="00B91DD0">
              <w:t>х</w:t>
            </w:r>
            <w:r w:rsidRPr="00CA5240">
              <w:t>.000</w:t>
            </w:r>
          </w:p>
        </w:tc>
        <w:tc>
          <w:tcPr>
            <w:tcW w:w="3119" w:type="dxa"/>
          </w:tcPr>
          <w:p w14:paraId="3D2B5024" w14:textId="77777777" w:rsidR="00CA5240" w:rsidRPr="00CA5240" w:rsidRDefault="00CA5240" w:rsidP="00AD033A">
            <w:r w:rsidRPr="00CA5240">
              <w:t xml:space="preserve">Признание доходов будущих периодов на </w:t>
            </w:r>
            <w:r w:rsidRPr="00CA5240">
              <w:lastRenderedPageBreak/>
              <w:t>сумму соглашения с Учредителем. Признание доходов отчетного периода по мере выполнения государственного задания</w:t>
            </w:r>
          </w:p>
        </w:tc>
        <w:tc>
          <w:tcPr>
            <w:tcW w:w="2233" w:type="dxa"/>
          </w:tcPr>
          <w:p w14:paraId="41AE5BBB" w14:textId="77777777" w:rsidR="00CA5240" w:rsidRPr="00CA5240" w:rsidRDefault="00CA5240" w:rsidP="006147A3">
            <w:pPr>
              <w:jc w:val="center"/>
            </w:pPr>
            <w:r w:rsidRPr="00CA5240">
              <w:rPr>
                <w:bCs/>
                <w:iCs/>
              </w:rPr>
              <w:lastRenderedPageBreak/>
              <w:t>Приказ об учетной политике</w:t>
            </w:r>
          </w:p>
        </w:tc>
      </w:tr>
      <w:tr w:rsidR="00CA5240" w:rsidRPr="00CA5240" w14:paraId="49DF2E59" w14:textId="77777777" w:rsidTr="00B91DD0">
        <w:tc>
          <w:tcPr>
            <w:tcW w:w="2376" w:type="dxa"/>
          </w:tcPr>
          <w:p w14:paraId="3951BDB1" w14:textId="77777777" w:rsidR="00CA5240" w:rsidRPr="00CA5240" w:rsidRDefault="00CA5240" w:rsidP="006147A3">
            <w:pPr>
              <w:jc w:val="center"/>
            </w:pPr>
            <w:r w:rsidRPr="00CA5240">
              <w:lastRenderedPageBreak/>
              <w:t>Расходы будущих периодов</w:t>
            </w:r>
          </w:p>
        </w:tc>
        <w:tc>
          <w:tcPr>
            <w:tcW w:w="1843" w:type="dxa"/>
          </w:tcPr>
          <w:p w14:paraId="0FE6F0DE" w14:textId="77777777" w:rsidR="00CA5240" w:rsidRPr="00CA5240" w:rsidRDefault="00CA5240" w:rsidP="006147A3">
            <w:pPr>
              <w:jc w:val="center"/>
            </w:pPr>
            <w:r w:rsidRPr="00CA5240">
              <w:t>0.401.50.000</w:t>
            </w:r>
          </w:p>
        </w:tc>
        <w:tc>
          <w:tcPr>
            <w:tcW w:w="3119" w:type="dxa"/>
          </w:tcPr>
          <w:p w14:paraId="29B325A7" w14:textId="77777777" w:rsidR="00CA5240" w:rsidRPr="00CA5240" w:rsidRDefault="00CA5240" w:rsidP="00AD033A">
            <w:pPr>
              <w:autoSpaceDE w:val="0"/>
              <w:autoSpaceDN w:val="0"/>
              <w:adjustRightInd w:val="0"/>
              <w:spacing w:before="60" w:after="60"/>
            </w:pPr>
            <w:r w:rsidRPr="00CA5240">
              <w:t xml:space="preserve">Учитываются затраты, произведенные Учреждением (Филиалом) в отчетном периоде, но относящиеся к следующим отчетным периодам, и подлежащие равномерному отнесению на финансовый результат текущего финансового года  в течение периода, к которому они относятся в </w:t>
            </w:r>
            <w:proofErr w:type="spellStart"/>
            <w:r w:rsidRPr="00CA5240">
              <w:t>т.ч</w:t>
            </w:r>
            <w:proofErr w:type="spellEnd"/>
            <w:r w:rsidRPr="00CA5240">
              <w:t>.:</w:t>
            </w:r>
          </w:p>
          <w:p w14:paraId="58B84990" w14:textId="5E7309E4" w:rsidR="00CA5240" w:rsidRPr="00CA5240" w:rsidRDefault="00CA5240" w:rsidP="00AD033A">
            <w:pPr>
              <w:autoSpaceDE w:val="0"/>
              <w:autoSpaceDN w:val="0"/>
              <w:adjustRightInd w:val="0"/>
            </w:pPr>
            <w:r w:rsidRPr="00CA5240">
              <w:t>- страхование имущества, гражданской ответственности</w:t>
            </w:r>
            <w:r w:rsidR="00D22D44">
              <w:t>, жизни и здоровья</w:t>
            </w:r>
            <w:r w:rsidRPr="00CA5240">
              <w:t>;</w:t>
            </w:r>
          </w:p>
          <w:p w14:paraId="30EB079C" w14:textId="7E4F5E6B" w:rsidR="00CA5240" w:rsidRDefault="00CA5240" w:rsidP="00AD033A">
            <w:pPr>
              <w:autoSpaceDE w:val="0"/>
              <w:autoSpaceDN w:val="0"/>
              <w:adjustRightInd w:val="0"/>
            </w:pPr>
            <w:r w:rsidRPr="00CA5240">
              <w:t>- приобретение неисключительных прав пользования нематериальными активами в течение нескольких отчетных периодов;</w:t>
            </w:r>
          </w:p>
          <w:p w14:paraId="16ED51F3" w14:textId="784973D6" w:rsidR="00D22D44" w:rsidRDefault="00D22D44" w:rsidP="00B91DD0">
            <w:pPr>
              <w:autoSpaceDE w:val="0"/>
              <w:autoSpaceDN w:val="0"/>
              <w:adjustRightInd w:val="0"/>
            </w:pPr>
            <w:r>
              <w:t>- лицензии на приобретение программных продуктов;</w:t>
            </w:r>
          </w:p>
          <w:p w14:paraId="438FAD89" w14:textId="248541CE" w:rsidR="00CA5240" w:rsidRPr="00CA5240" w:rsidRDefault="00D22D44" w:rsidP="00AD033A">
            <w:pPr>
              <w:autoSpaceDE w:val="0"/>
              <w:autoSpaceDN w:val="0"/>
              <w:adjustRightInd w:val="0"/>
            </w:pPr>
            <w:r>
              <w:t>- прочие аналогичные расходы</w:t>
            </w:r>
            <w:r w:rsidR="00CA5240" w:rsidRPr="00CA5240">
              <w:t>.</w:t>
            </w:r>
          </w:p>
          <w:p w14:paraId="7A012DA5" w14:textId="77777777" w:rsidR="00CA5240" w:rsidRPr="00CA5240" w:rsidRDefault="00CA5240" w:rsidP="00AD033A">
            <w:pPr>
              <w:autoSpaceDE w:val="0"/>
              <w:autoSpaceDN w:val="0"/>
              <w:adjustRightInd w:val="0"/>
            </w:pPr>
            <w:r w:rsidRPr="00CA5240">
              <w:t xml:space="preserve">Признание расходов текущего периода осуществляется ежемесячно. </w:t>
            </w:r>
          </w:p>
        </w:tc>
        <w:tc>
          <w:tcPr>
            <w:tcW w:w="2233" w:type="dxa"/>
          </w:tcPr>
          <w:p w14:paraId="1A40FAB8" w14:textId="77777777" w:rsidR="00CA5240" w:rsidRPr="00CA5240" w:rsidRDefault="00CA5240" w:rsidP="006147A3">
            <w:pPr>
              <w:jc w:val="center"/>
            </w:pPr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15F44728" w14:textId="77777777" w:rsidTr="00B91DD0">
        <w:tc>
          <w:tcPr>
            <w:tcW w:w="2376" w:type="dxa"/>
          </w:tcPr>
          <w:p w14:paraId="1201ED71" w14:textId="77777777" w:rsidR="00CA5240" w:rsidRPr="00CA5240" w:rsidRDefault="00CA5240" w:rsidP="00F2694E">
            <w:r w:rsidRPr="00CA5240">
              <w:t>Резервы предстоящей оплаты отпусков</w:t>
            </w:r>
          </w:p>
        </w:tc>
        <w:tc>
          <w:tcPr>
            <w:tcW w:w="1843" w:type="dxa"/>
          </w:tcPr>
          <w:p w14:paraId="6EFECB1C" w14:textId="77777777" w:rsidR="00CA5240" w:rsidRPr="00CA5240" w:rsidRDefault="00CA5240" w:rsidP="00DE0ADC">
            <w:pPr>
              <w:jc w:val="center"/>
            </w:pPr>
            <w:r w:rsidRPr="00CA5240">
              <w:t xml:space="preserve">0.401.60.000 </w:t>
            </w:r>
          </w:p>
        </w:tc>
        <w:tc>
          <w:tcPr>
            <w:tcW w:w="3119" w:type="dxa"/>
          </w:tcPr>
          <w:p w14:paraId="3FC2E0D1" w14:textId="52F6A512" w:rsidR="00CA5240" w:rsidRPr="00CA5240" w:rsidRDefault="00CA5240" w:rsidP="00DE0ADC">
            <w:r w:rsidRPr="00CA5240">
              <w:t xml:space="preserve">Сумма резерва рассчитывается как произведение </w:t>
            </w:r>
            <w:r w:rsidR="00D22D44">
              <w:t>к</w:t>
            </w:r>
            <w:r w:rsidRPr="00CA5240">
              <w:t xml:space="preserve">оличества неиспользованных всеми сотрудниками дней отпусков на последний день </w:t>
            </w:r>
            <w:r w:rsidR="00B91DD0">
              <w:t>года</w:t>
            </w:r>
            <w:r w:rsidRPr="00CA5240">
              <w:t xml:space="preserve"> (по данным кадрового учета) с учетом начисленных </w:t>
            </w:r>
            <w:r w:rsidR="00D22D44">
              <w:t>страховых взносов</w:t>
            </w:r>
          </w:p>
        </w:tc>
        <w:tc>
          <w:tcPr>
            <w:tcW w:w="2233" w:type="dxa"/>
          </w:tcPr>
          <w:p w14:paraId="32377E47" w14:textId="77777777" w:rsidR="00CA5240" w:rsidRPr="00CA5240" w:rsidRDefault="00CA5240" w:rsidP="00907B0F">
            <w:r w:rsidRPr="00CA5240">
              <w:rPr>
                <w:bCs/>
                <w:iCs/>
              </w:rPr>
              <w:t>Приказ об учетной политике</w:t>
            </w:r>
          </w:p>
        </w:tc>
      </w:tr>
      <w:tr w:rsidR="00CA5240" w:rsidRPr="00CA5240" w14:paraId="770BD295" w14:textId="77777777" w:rsidTr="00B91DD0">
        <w:tc>
          <w:tcPr>
            <w:tcW w:w="2376" w:type="dxa"/>
          </w:tcPr>
          <w:p w14:paraId="575A8972" w14:textId="77777777" w:rsidR="00CA5240" w:rsidRPr="00CA5240" w:rsidRDefault="00CA5240" w:rsidP="00F2694E">
            <w:r w:rsidRPr="00CA5240">
              <w:t>Резерв по сомнительным долгам</w:t>
            </w:r>
          </w:p>
        </w:tc>
        <w:tc>
          <w:tcPr>
            <w:tcW w:w="1843" w:type="dxa"/>
          </w:tcPr>
          <w:p w14:paraId="4757B1EE" w14:textId="77777777" w:rsidR="00CA5240" w:rsidRPr="00CA5240" w:rsidRDefault="00CA5240" w:rsidP="00DE0ADC">
            <w:pPr>
              <w:jc w:val="center"/>
            </w:pPr>
            <w:r w:rsidRPr="00CA5240">
              <w:t xml:space="preserve">0.401.60.000 </w:t>
            </w:r>
          </w:p>
        </w:tc>
        <w:tc>
          <w:tcPr>
            <w:tcW w:w="3119" w:type="dxa"/>
          </w:tcPr>
          <w:p w14:paraId="0A51D74C" w14:textId="23A77C67" w:rsidR="00CA5240" w:rsidRPr="00CA5240" w:rsidRDefault="00CA5240" w:rsidP="006674D7">
            <w:r w:rsidRPr="00CA5240">
              <w:t xml:space="preserve">Величина резерва устанавливается в размере выявленной сомнительной задолженности </w:t>
            </w:r>
          </w:p>
        </w:tc>
        <w:tc>
          <w:tcPr>
            <w:tcW w:w="2233" w:type="dxa"/>
          </w:tcPr>
          <w:p w14:paraId="00BD3E4D" w14:textId="77777777" w:rsidR="00CA5240" w:rsidRPr="00CA5240" w:rsidRDefault="00CA5240" w:rsidP="008144E4">
            <w:pPr>
              <w:rPr>
                <w:bCs/>
                <w:iCs/>
              </w:rPr>
            </w:pPr>
            <w:r w:rsidRPr="00CA5240">
              <w:rPr>
                <w:bCs/>
                <w:iCs/>
              </w:rPr>
              <w:t xml:space="preserve">Приказ об учетной политике </w:t>
            </w:r>
          </w:p>
        </w:tc>
      </w:tr>
      <w:tr w:rsidR="00CA5240" w:rsidRPr="00CA5240" w14:paraId="5E8B64DF" w14:textId="77777777" w:rsidTr="00B91DD0">
        <w:trPr>
          <w:trHeight w:val="621"/>
        </w:trPr>
        <w:tc>
          <w:tcPr>
            <w:tcW w:w="2376" w:type="dxa"/>
          </w:tcPr>
          <w:p w14:paraId="1B9A8A54" w14:textId="77777777" w:rsidR="00CA5240" w:rsidRPr="00CA5240" w:rsidRDefault="00CA5240" w:rsidP="00F2694E">
            <w:r w:rsidRPr="00CA5240">
              <w:rPr>
                <w:bCs/>
                <w:iCs/>
              </w:rPr>
              <w:lastRenderedPageBreak/>
              <w:t>Бланки строгой отчетности</w:t>
            </w:r>
          </w:p>
        </w:tc>
        <w:tc>
          <w:tcPr>
            <w:tcW w:w="1843" w:type="dxa"/>
          </w:tcPr>
          <w:p w14:paraId="12B9829F" w14:textId="77777777" w:rsidR="00CA5240" w:rsidRPr="00CA5240" w:rsidRDefault="00CA5240" w:rsidP="006147A3">
            <w:pPr>
              <w:jc w:val="center"/>
            </w:pPr>
            <w:r w:rsidRPr="00CA5240">
              <w:t>03</w:t>
            </w:r>
          </w:p>
        </w:tc>
        <w:tc>
          <w:tcPr>
            <w:tcW w:w="3119" w:type="dxa"/>
          </w:tcPr>
          <w:p w14:paraId="71D4D9E3" w14:textId="77777777" w:rsidR="00CA5240" w:rsidRPr="00CA5240" w:rsidRDefault="00CA5240" w:rsidP="00F2694E">
            <w:r w:rsidRPr="00CA5240">
              <w:rPr>
                <w:bCs/>
                <w:iCs/>
              </w:rPr>
              <w:t>В условной оценке: один бланк стоит 1 руб.</w:t>
            </w:r>
          </w:p>
        </w:tc>
        <w:tc>
          <w:tcPr>
            <w:tcW w:w="2233" w:type="dxa"/>
          </w:tcPr>
          <w:p w14:paraId="0DB7C84A" w14:textId="77777777" w:rsidR="00CA5240" w:rsidRPr="00CA5240" w:rsidRDefault="00CA5240" w:rsidP="00F2694E">
            <w:r w:rsidRPr="00CA5240">
              <w:rPr>
                <w:bCs/>
                <w:iCs/>
              </w:rPr>
              <w:t xml:space="preserve">Приказ об учетной политике </w:t>
            </w:r>
          </w:p>
        </w:tc>
      </w:tr>
      <w:tr w:rsidR="00CA5240" w:rsidRPr="00CA5240" w14:paraId="7B115904" w14:textId="77777777" w:rsidTr="00B91DD0">
        <w:trPr>
          <w:trHeight w:val="543"/>
        </w:trPr>
        <w:tc>
          <w:tcPr>
            <w:tcW w:w="2376" w:type="dxa"/>
          </w:tcPr>
          <w:p w14:paraId="24A99C60" w14:textId="77777777" w:rsidR="00CA5240" w:rsidRPr="00CA5240" w:rsidRDefault="00CA5240" w:rsidP="00DD48DF">
            <w:r w:rsidRPr="00CA5240">
              <w:rPr>
                <w:bCs/>
                <w:iCs/>
              </w:rPr>
              <w:t>Основные средства стоимостью до 10 000 руб. включительно в эксплуатации</w:t>
            </w:r>
          </w:p>
        </w:tc>
        <w:tc>
          <w:tcPr>
            <w:tcW w:w="1843" w:type="dxa"/>
          </w:tcPr>
          <w:p w14:paraId="19E0CECB" w14:textId="77777777" w:rsidR="00CA5240" w:rsidRPr="00CA5240" w:rsidRDefault="00CA5240" w:rsidP="006147A3">
            <w:pPr>
              <w:jc w:val="center"/>
            </w:pPr>
            <w:r w:rsidRPr="00CA5240">
              <w:t>21</w:t>
            </w:r>
          </w:p>
        </w:tc>
        <w:tc>
          <w:tcPr>
            <w:tcW w:w="3119" w:type="dxa"/>
          </w:tcPr>
          <w:p w14:paraId="6069F2E6" w14:textId="77777777" w:rsidR="00CA5240" w:rsidRPr="00CA5240" w:rsidRDefault="00CA5240" w:rsidP="00F2694E">
            <w:r w:rsidRPr="00CA5240">
              <w:rPr>
                <w:bCs/>
                <w:iCs/>
              </w:rPr>
              <w:t>По балансовой стоимости введенного в эксплуатацию объекта</w:t>
            </w:r>
          </w:p>
        </w:tc>
        <w:tc>
          <w:tcPr>
            <w:tcW w:w="2233" w:type="dxa"/>
          </w:tcPr>
          <w:p w14:paraId="5B984163" w14:textId="77777777" w:rsidR="00CA5240" w:rsidRPr="00CA5240" w:rsidRDefault="00CA5240" w:rsidP="006E134A">
            <w:r w:rsidRPr="00CA5240">
              <w:rPr>
                <w:bCs/>
                <w:iCs/>
              </w:rPr>
              <w:t xml:space="preserve">Приказ об учетной политике </w:t>
            </w:r>
          </w:p>
        </w:tc>
      </w:tr>
    </w:tbl>
    <w:p w14:paraId="6390D76D" w14:textId="4A6865EE" w:rsidR="001D1BE3" w:rsidRDefault="00530EA0" w:rsidP="00F2694E">
      <w:r w:rsidRPr="00CA5240">
        <w:t xml:space="preserve"> </w:t>
      </w:r>
      <w:r w:rsidR="00281F9B">
        <w:t xml:space="preserve"> </w:t>
      </w:r>
    </w:p>
    <w:p w14:paraId="221B44BD" w14:textId="787B2D5E" w:rsidR="00281F9B" w:rsidRDefault="00281F9B" w:rsidP="00F2694E">
      <w:r>
        <w:t xml:space="preserve">              </w:t>
      </w:r>
    </w:p>
    <w:p w14:paraId="4EE27C45" w14:textId="602F2D57" w:rsidR="004B39CF" w:rsidRDefault="004B39CF" w:rsidP="00332E4B">
      <w:pPr>
        <w:jc w:val="both"/>
      </w:pPr>
      <w:r>
        <w:tab/>
        <w:t xml:space="preserve"> </w:t>
      </w:r>
      <w:proofErr w:type="gramStart"/>
      <w:r>
        <w:t xml:space="preserve">В бухгалтерском и налоговом учете заработная плата и начисления на нее </w:t>
      </w:r>
      <w:r w:rsidR="00332E4B">
        <w:t xml:space="preserve">по </w:t>
      </w:r>
      <w:r>
        <w:t>государств</w:t>
      </w:r>
      <w:r w:rsidR="00332E4B">
        <w:t>енным контактам</w:t>
      </w:r>
      <w:r>
        <w:t>,</w:t>
      </w:r>
      <w:r w:rsidR="00332E4B">
        <w:t xml:space="preserve"> грантам, пожертвованиям  и иным видам</w:t>
      </w:r>
      <w:r>
        <w:t xml:space="preserve"> источников</w:t>
      </w:r>
      <w:r w:rsidR="00332E4B">
        <w:t>, требующим</w:t>
      </w:r>
      <w:r>
        <w:t xml:space="preserve"> раздельного учета</w:t>
      </w:r>
      <w:r w:rsidR="00332E4B">
        <w:t>,</w:t>
      </w:r>
      <w:r>
        <w:t xml:space="preserve">  формируется в журнале</w:t>
      </w:r>
      <w:r w:rsidR="00332E4B">
        <w:t xml:space="preserve"> «Зарплата работников в разрезе тем» </w:t>
      </w:r>
      <w:r>
        <w:t xml:space="preserve"> </w:t>
      </w:r>
      <w:r w:rsidR="00332E4B">
        <w:t>на основании п</w:t>
      </w:r>
      <w:r>
        <w:t>редставлений, подписанных руководителями структурных подразделений и ежемесячного мониторинга рабочего времени «</w:t>
      </w:r>
      <w:r w:rsidR="00332E4B">
        <w:t xml:space="preserve">Ведомость </w:t>
      </w:r>
      <w:proofErr w:type="spellStart"/>
      <w:r w:rsidR="00332E4B">
        <w:t>задействованн</w:t>
      </w:r>
      <w:r>
        <w:t>ости</w:t>
      </w:r>
      <w:proofErr w:type="spellEnd"/>
      <w:r>
        <w:t xml:space="preserve"> осн</w:t>
      </w:r>
      <w:r w:rsidR="00332E4B">
        <w:t>овн</w:t>
      </w:r>
      <w:r>
        <w:t>ых исполнителей в разрезе тем»</w:t>
      </w:r>
      <w:r w:rsidR="00332E4B">
        <w:t>.</w:t>
      </w:r>
      <w:proofErr w:type="gramEnd"/>
    </w:p>
    <w:p w14:paraId="353C5620" w14:textId="77777777" w:rsidR="00332E4B" w:rsidRDefault="00332E4B" w:rsidP="00332E4B">
      <w:pPr>
        <w:ind w:firstLine="708"/>
      </w:pPr>
      <w:r>
        <w:t xml:space="preserve">Ведомости на выплату заработной платы сотрудникам учреждения </w:t>
      </w:r>
      <w:proofErr w:type="gramStart"/>
      <w:r>
        <w:t>формируются по территориальному признаку нахождения работника и не разбиваются</w:t>
      </w:r>
      <w:proofErr w:type="gramEnd"/>
      <w:r>
        <w:t xml:space="preserve"> по источникам платежа. </w:t>
      </w:r>
    </w:p>
    <w:p w14:paraId="46A55CDE" w14:textId="66C0D560" w:rsidR="00CA5240" w:rsidRPr="00CA5240" w:rsidRDefault="00CA5240" w:rsidP="00332E4B">
      <w:pPr>
        <w:ind w:firstLine="708"/>
      </w:pPr>
      <w:r w:rsidRPr="00CA5240">
        <w:t xml:space="preserve">В </w:t>
      </w:r>
      <w:proofErr w:type="gramStart"/>
      <w:r w:rsidRPr="00CA5240">
        <w:t>случае</w:t>
      </w:r>
      <w:proofErr w:type="gramEnd"/>
      <w:r w:rsidRPr="00CA5240">
        <w:t xml:space="preserve"> если для показателя, необходимого для ведения бухгалтерского учета, не </w:t>
      </w:r>
      <w:r w:rsidRPr="00CA5240">
        <w:br/>
        <w:t xml:space="preserve">установлен метод оценки в законодательстве и в настоящей учетной политике, то </w:t>
      </w:r>
      <w:r w:rsidRPr="00CA5240">
        <w:br/>
        <w:t xml:space="preserve">величина оценочного показателя определяется профессиональным суждением главного </w:t>
      </w:r>
      <w:r w:rsidRPr="00CA5240">
        <w:br/>
        <w:t>бухгалтера.</w:t>
      </w:r>
    </w:p>
    <w:p w14:paraId="50E89C8B" w14:textId="77777777" w:rsidR="00CA5240" w:rsidRDefault="00CA5240" w:rsidP="00CA5240">
      <w:pPr>
        <w:pStyle w:val="ae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5240">
        <w:rPr>
          <w:rFonts w:ascii="Times New Roman" w:hAnsi="Times New Roman" w:cs="Times New Roman"/>
          <w:sz w:val="24"/>
          <w:szCs w:val="24"/>
        </w:rPr>
        <w:t>Основание: пункт 6 СГС «Учетная политика, оценочные значения и ошибки».</w:t>
      </w:r>
    </w:p>
    <w:p w14:paraId="623C8230" w14:textId="77777777" w:rsidR="00F83663" w:rsidRDefault="00F83663" w:rsidP="00CA5240">
      <w:pPr>
        <w:pStyle w:val="ae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5B48F3" w14:textId="77777777" w:rsidR="00F83663" w:rsidRDefault="00F83663" w:rsidP="00CA5240">
      <w:pPr>
        <w:pStyle w:val="ae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0A6021" w14:textId="77777777" w:rsidR="00F83663" w:rsidRPr="00CA5240" w:rsidRDefault="00F83663" w:rsidP="00CA5240">
      <w:pPr>
        <w:pStyle w:val="ae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CA6FEB" w14:textId="41C9D62E" w:rsidR="00C55283" w:rsidRDefault="00F83663" w:rsidP="00F2694E">
      <w:r>
        <w:t>Главный бухгалтер</w:t>
      </w:r>
    </w:p>
    <w:p w14:paraId="28AC8C35" w14:textId="7F900A26" w:rsidR="00F83663" w:rsidRPr="00CA5240" w:rsidRDefault="00F83663" w:rsidP="00F2694E">
      <w:r>
        <w:t>ФГБУ «Институт стандартизации»   ________________________________Я.А. Литвиненко</w:t>
      </w:r>
    </w:p>
    <w:sectPr w:rsidR="00F83663" w:rsidRPr="00CA5240" w:rsidSect="00611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4B233" w14:textId="77777777" w:rsidR="00611DFC" w:rsidRDefault="00611DFC" w:rsidP="00C22A4C">
      <w:r>
        <w:separator/>
      </w:r>
    </w:p>
  </w:endnote>
  <w:endnote w:type="continuationSeparator" w:id="0">
    <w:p w14:paraId="57AC1077" w14:textId="77777777" w:rsidR="00611DFC" w:rsidRDefault="00611DFC" w:rsidP="00C2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F6942" w14:textId="77777777" w:rsidR="00C22A4C" w:rsidRDefault="00C22A4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65767" w14:textId="77777777" w:rsidR="00C22A4C" w:rsidRDefault="00C22A4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C78A3" w14:textId="77777777" w:rsidR="00C22A4C" w:rsidRDefault="00C22A4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9B60C" w14:textId="77777777" w:rsidR="00611DFC" w:rsidRDefault="00611DFC" w:rsidP="00C22A4C">
      <w:r>
        <w:separator/>
      </w:r>
    </w:p>
  </w:footnote>
  <w:footnote w:type="continuationSeparator" w:id="0">
    <w:p w14:paraId="514D0B82" w14:textId="77777777" w:rsidR="00611DFC" w:rsidRDefault="00611DFC" w:rsidP="00C2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F37A" w14:textId="77777777" w:rsidR="00C22A4C" w:rsidRDefault="00C22A4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93685" w14:textId="77777777" w:rsidR="00C22A4C" w:rsidRDefault="00C22A4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0E731" w14:textId="77777777" w:rsidR="00C22A4C" w:rsidRDefault="00C22A4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783"/>
    <w:multiLevelType w:val="hybridMultilevel"/>
    <w:tmpl w:val="B148B9B6"/>
    <w:lvl w:ilvl="0" w:tplc="0419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F536A474">
      <w:start w:val="1"/>
      <w:numFmt w:val="bullet"/>
      <w:lvlText w:val=""/>
      <w:lvlJc w:val="left"/>
      <w:pPr>
        <w:ind w:left="26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">
    <w:nsid w:val="1DB6169F"/>
    <w:multiLevelType w:val="hybridMultilevel"/>
    <w:tmpl w:val="1CEA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53BE"/>
    <w:multiLevelType w:val="hybridMultilevel"/>
    <w:tmpl w:val="A45E1434"/>
    <w:lvl w:ilvl="0" w:tplc="0419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3">
    <w:nsid w:val="57674507"/>
    <w:multiLevelType w:val="multilevel"/>
    <w:tmpl w:val="F1EA5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3CA64E0"/>
    <w:multiLevelType w:val="multilevel"/>
    <w:tmpl w:val="E6202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E0"/>
    <w:rsid w:val="00016A7F"/>
    <w:rsid w:val="00033364"/>
    <w:rsid w:val="000460CB"/>
    <w:rsid w:val="00072AAC"/>
    <w:rsid w:val="000A51BF"/>
    <w:rsid w:val="00101DF3"/>
    <w:rsid w:val="001131A9"/>
    <w:rsid w:val="00144EF9"/>
    <w:rsid w:val="0016671F"/>
    <w:rsid w:val="0017503E"/>
    <w:rsid w:val="00181574"/>
    <w:rsid w:val="001D1BE3"/>
    <w:rsid w:val="00205C11"/>
    <w:rsid w:val="00224B6E"/>
    <w:rsid w:val="0025548E"/>
    <w:rsid w:val="00281F9B"/>
    <w:rsid w:val="002C1245"/>
    <w:rsid w:val="002F6F58"/>
    <w:rsid w:val="00332E4B"/>
    <w:rsid w:val="00342139"/>
    <w:rsid w:val="0036636D"/>
    <w:rsid w:val="003F5697"/>
    <w:rsid w:val="00401DD3"/>
    <w:rsid w:val="00457B10"/>
    <w:rsid w:val="00495818"/>
    <w:rsid w:val="004B39CF"/>
    <w:rsid w:val="0053002B"/>
    <w:rsid w:val="00530EA0"/>
    <w:rsid w:val="005B13D7"/>
    <w:rsid w:val="005F065E"/>
    <w:rsid w:val="00611DFC"/>
    <w:rsid w:val="006147A3"/>
    <w:rsid w:val="00643BB4"/>
    <w:rsid w:val="006674D7"/>
    <w:rsid w:val="00671683"/>
    <w:rsid w:val="006B7B48"/>
    <w:rsid w:val="006C71FB"/>
    <w:rsid w:val="006E134A"/>
    <w:rsid w:val="006F0FEE"/>
    <w:rsid w:val="007555DD"/>
    <w:rsid w:val="00757FE0"/>
    <w:rsid w:val="00765D8D"/>
    <w:rsid w:val="007C2AF7"/>
    <w:rsid w:val="007D1E67"/>
    <w:rsid w:val="008144E4"/>
    <w:rsid w:val="00820C6D"/>
    <w:rsid w:val="00853CDB"/>
    <w:rsid w:val="008A2950"/>
    <w:rsid w:val="008B27D9"/>
    <w:rsid w:val="00907B0F"/>
    <w:rsid w:val="00976C1C"/>
    <w:rsid w:val="00981FFD"/>
    <w:rsid w:val="009A2AC0"/>
    <w:rsid w:val="009E11DE"/>
    <w:rsid w:val="00A32A4B"/>
    <w:rsid w:val="00A345AE"/>
    <w:rsid w:val="00A400BE"/>
    <w:rsid w:val="00A46421"/>
    <w:rsid w:val="00A63EB7"/>
    <w:rsid w:val="00A92BBB"/>
    <w:rsid w:val="00AB621C"/>
    <w:rsid w:val="00AD033A"/>
    <w:rsid w:val="00AE702F"/>
    <w:rsid w:val="00AF67B8"/>
    <w:rsid w:val="00B42764"/>
    <w:rsid w:val="00B454CE"/>
    <w:rsid w:val="00B540CC"/>
    <w:rsid w:val="00B670EE"/>
    <w:rsid w:val="00B7582F"/>
    <w:rsid w:val="00B91DD0"/>
    <w:rsid w:val="00C22A4C"/>
    <w:rsid w:val="00C23137"/>
    <w:rsid w:val="00C45819"/>
    <w:rsid w:val="00C522E0"/>
    <w:rsid w:val="00C55283"/>
    <w:rsid w:val="00C623E6"/>
    <w:rsid w:val="00CA3CCA"/>
    <w:rsid w:val="00CA5240"/>
    <w:rsid w:val="00D101E7"/>
    <w:rsid w:val="00D2293B"/>
    <w:rsid w:val="00D22D44"/>
    <w:rsid w:val="00D93948"/>
    <w:rsid w:val="00DA14A2"/>
    <w:rsid w:val="00DB7AB7"/>
    <w:rsid w:val="00DC636E"/>
    <w:rsid w:val="00DD48DF"/>
    <w:rsid w:val="00DE0ADC"/>
    <w:rsid w:val="00DF51DB"/>
    <w:rsid w:val="00E11971"/>
    <w:rsid w:val="00E1323C"/>
    <w:rsid w:val="00EB3235"/>
    <w:rsid w:val="00EC5905"/>
    <w:rsid w:val="00F2694E"/>
    <w:rsid w:val="00F41B34"/>
    <w:rsid w:val="00F52A19"/>
    <w:rsid w:val="00F83663"/>
    <w:rsid w:val="00FA6AAF"/>
    <w:rsid w:val="00FC3226"/>
    <w:rsid w:val="00FE451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3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67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671F"/>
    <w:pPr>
      <w:spacing w:before="525" w:after="300"/>
      <w:ind w:left="225" w:right="150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"/>
    <w:qFormat/>
    <w:rsid w:val="0016671F"/>
    <w:pPr>
      <w:spacing w:before="100" w:beforeAutospacing="1" w:after="100" w:afterAutospacing="1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1667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667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671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6671F"/>
    <w:rPr>
      <w:sz w:val="27"/>
      <w:szCs w:val="27"/>
    </w:rPr>
  </w:style>
  <w:style w:type="character" w:customStyle="1" w:styleId="30">
    <w:name w:val="Заголовок 3 Знак"/>
    <w:link w:val="3"/>
    <w:uiPriority w:val="9"/>
    <w:rsid w:val="0016671F"/>
    <w:rPr>
      <w:b/>
      <w:bCs/>
      <w:sz w:val="32"/>
      <w:szCs w:val="24"/>
    </w:rPr>
  </w:style>
  <w:style w:type="character" w:customStyle="1" w:styleId="40">
    <w:name w:val="Заголовок 4 Знак"/>
    <w:link w:val="4"/>
    <w:uiPriority w:val="9"/>
    <w:rsid w:val="001667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1667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16671F"/>
    <w:rPr>
      <w:b/>
      <w:bCs/>
    </w:rPr>
  </w:style>
  <w:style w:type="character" w:styleId="a4">
    <w:name w:val="Hyperlink"/>
    <w:uiPriority w:val="99"/>
    <w:unhideWhenUsed/>
    <w:rsid w:val="00757FE0"/>
    <w:rPr>
      <w:color w:val="0000FF"/>
      <w:u w:val="single"/>
    </w:rPr>
  </w:style>
  <w:style w:type="table" w:styleId="a5">
    <w:name w:val="Table Grid"/>
    <w:basedOn w:val="a1"/>
    <w:uiPriority w:val="59"/>
    <w:rsid w:val="000A51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820C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0C6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0C6D"/>
  </w:style>
  <w:style w:type="paragraph" w:styleId="a9">
    <w:name w:val="annotation subject"/>
    <w:basedOn w:val="a7"/>
    <w:next w:val="a7"/>
    <w:link w:val="aa"/>
    <w:uiPriority w:val="99"/>
    <w:semiHidden/>
    <w:unhideWhenUsed/>
    <w:rsid w:val="00820C6D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20C6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0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20C6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1197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E451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C22A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C22A4C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22A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C22A4C"/>
    <w:rPr>
      <w:sz w:val="24"/>
      <w:szCs w:val="24"/>
    </w:rPr>
  </w:style>
  <w:style w:type="paragraph" w:customStyle="1" w:styleId="js-clipboard-title">
    <w:name w:val="js-clipboard-title"/>
    <w:basedOn w:val="a"/>
    <w:rsid w:val="00530EA0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CA52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67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671F"/>
    <w:pPr>
      <w:spacing w:before="525" w:after="300"/>
      <w:ind w:left="225" w:right="150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"/>
    <w:qFormat/>
    <w:rsid w:val="0016671F"/>
    <w:pPr>
      <w:spacing w:before="100" w:beforeAutospacing="1" w:after="100" w:afterAutospacing="1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1667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667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671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6671F"/>
    <w:rPr>
      <w:sz w:val="27"/>
      <w:szCs w:val="27"/>
    </w:rPr>
  </w:style>
  <w:style w:type="character" w:customStyle="1" w:styleId="30">
    <w:name w:val="Заголовок 3 Знак"/>
    <w:link w:val="3"/>
    <w:uiPriority w:val="9"/>
    <w:rsid w:val="0016671F"/>
    <w:rPr>
      <w:b/>
      <w:bCs/>
      <w:sz w:val="32"/>
      <w:szCs w:val="24"/>
    </w:rPr>
  </w:style>
  <w:style w:type="character" w:customStyle="1" w:styleId="40">
    <w:name w:val="Заголовок 4 Знак"/>
    <w:link w:val="4"/>
    <w:uiPriority w:val="9"/>
    <w:rsid w:val="001667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1667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16671F"/>
    <w:rPr>
      <w:b/>
      <w:bCs/>
    </w:rPr>
  </w:style>
  <w:style w:type="character" w:styleId="a4">
    <w:name w:val="Hyperlink"/>
    <w:uiPriority w:val="99"/>
    <w:unhideWhenUsed/>
    <w:rsid w:val="00757FE0"/>
    <w:rPr>
      <w:color w:val="0000FF"/>
      <w:u w:val="single"/>
    </w:rPr>
  </w:style>
  <w:style w:type="table" w:styleId="a5">
    <w:name w:val="Table Grid"/>
    <w:basedOn w:val="a1"/>
    <w:uiPriority w:val="59"/>
    <w:rsid w:val="000A51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820C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0C6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0C6D"/>
  </w:style>
  <w:style w:type="paragraph" w:styleId="a9">
    <w:name w:val="annotation subject"/>
    <w:basedOn w:val="a7"/>
    <w:next w:val="a7"/>
    <w:link w:val="aa"/>
    <w:uiPriority w:val="99"/>
    <w:semiHidden/>
    <w:unhideWhenUsed/>
    <w:rsid w:val="00820C6D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20C6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0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20C6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1197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E451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C22A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C22A4C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22A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C22A4C"/>
    <w:rPr>
      <w:sz w:val="24"/>
      <w:szCs w:val="24"/>
    </w:rPr>
  </w:style>
  <w:style w:type="paragraph" w:customStyle="1" w:styleId="js-clipboard-title">
    <w:name w:val="js-clipboard-title"/>
    <w:basedOn w:val="a"/>
    <w:rsid w:val="00530EA0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CA52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1135</Words>
  <Characters>6473</Characters>
  <Application>Microsoft Office Word</Application>
  <DocSecurity>0</DocSecurity>
  <PresentationFormat>c_k9v5</PresentationFormat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таблицы №&amp;#160;4 Пояснительной записки (ф.&amp;#160;0503760)</vt:lpstr>
    </vt:vector>
  </TitlesOfParts>
  <Manager/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таблицы №&amp;#160;4 Пояснительной записки (ф.&amp;#160;0503760)</dc:title>
  <dc:subject/>
  <dc:creator>Petr Belyaev</dc:creator>
  <cp:keywords/>
  <dc:description>Подготовлено на базе материалов БСС «Система Главбух»</dc:description>
  <cp:lastModifiedBy>Ольга К. Климонтович</cp:lastModifiedBy>
  <cp:revision>6</cp:revision>
  <cp:lastPrinted>2024-03-01T10:01:00Z</cp:lastPrinted>
  <dcterms:created xsi:type="dcterms:W3CDTF">2024-02-29T14:17:00Z</dcterms:created>
  <dcterms:modified xsi:type="dcterms:W3CDTF">2024-03-01T10:01:00Z</dcterms:modified>
  <cp:category/>
  <cp:contentStatus/>
</cp:coreProperties>
</file>